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RACE TRACK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Гидравлический ручной тормоз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Комплектация: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Приварная площадка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Корпус ручника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Шарнирное соединение для штока цилидра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Ручка ручника с подшипниками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Медные шайбы м8 - 4шт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Гайки с тефлоном м8 – 2шт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Болт крепления ручки ручника к корпусу м8*35 – 1шт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Болт крепления ШС к ручки ручника м8*25 – 1шт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Болты крепления корпуса ручника к приварной площадке м8 – 3шт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Шайбы м8 – 5шт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Данный ручник возможно собрать в двух положениях: Вертикальном и Горизонтальном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91615" cy="2284095"/>
            <wp:effectExtent b="0" l="0" r="0" t="0"/>
            <wp:docPr id="103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284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295650" cy="1813560"/>
            <wp:effectExtent b="0" l="0" r="0" t="0"/>
            <wp:docPr id="103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13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 площадки и корпуса: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15465" cy="2823845"/>
            <wp:effectExtent b="0" l="0" r="0" t="0"/>
            <wp:docPr id="10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823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 ручки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956560" cy="2341245"/>
            <wp:effectExtent b="0" l="0" r="0" t="0"/>
            <wp:docPr id="104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341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 цилиндра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126105" cy="2011045"/>
            <wp:effectExtent b="0" l="0" r="0" t="0"/>
            <wp:docPr id="103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01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ажно сделать правильный крепеж для ручника, т.к. во время его эксплуатации на его основу приходятся достаточно большие нагрузки. Для удобства качественной установки прилагается Приварная площадка. Первоначально соберите ручник вместе с Приварной площадкой, выставите и отрегулируйте Ручку ручника в предполагаемое положение.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Отметьте положение Гидравлический ручника на кузове автомобиля, зачистьте предполагаемое место монтажа от краски и приварите Приварную площадку, предварительно открутив её от Корпуса ручника чтобы избежать его повреждения от сварочных работ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Подключение Гидравлического цилиндра: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зависимости от вашего предпочтения, Вы можете подключить Гидравлический ручник как в разрез стандартной тормозной системы, так и установив отдельный тормозной контур, используя дополнительные суппорта: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 «В разрез»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92650" cy="2753360"/>
            <wp:effectExtent b="0" l="0" r="0" t="0"/>
            <wp:docPr id="103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753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«Отдельный контур»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35575" cy="2775585"/>
            <wp:effectExtent b="0" l="0" r="0" t="0"/>
            <wp:docPr id="103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775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подключения Гидравлического ручника и перед его прокачкой, проверьте все соединения тормозных трубок, шлангов, фитингов, штуцеров, затянуты ли все болты крепления Гидравлического цилиндра..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Прокачка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Гидравлического цилиндра: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Прокачка Гидравлический ручник производится так же, как и стандартной тормозной системы, через главный тормозной цилиндр (Если используется схема подключения «В разрез») в очередности от дальних суппортов от ГТЦ к ближним. Дополнительно после прокачки всех суппортов, осуществляется прокачка самого цилиндра, путем зажатия ручки ручника в рабочее положение и открытие штуцеров задних суппортов к которым он подключен.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подключения по схеме «Отдельный контур», прокачка осуществляется только при помощи ручника.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ВНИМАНИЕ: После прокачки тормозной системы, убедитесь в её качестве и отсутствии течей!</w:t>
      </w: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720" w:top="720" w:left="720" w:right="72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23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Pesegov Racing Parts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292735</wp:posOffset>
          </wp:positionH>
          <wp:positionV relativeFrom="paragraph">
            <wp:posOffset>-62863</wp:posOffset>
          </wp:positionV>
          <wp:extent cx="771525" cy="657225"/>
          <wp:effectExtent b="0" l="0" r="0" t="0"/>
          <wp:wrapNone/>
          <wp:docPr id="10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23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тел.: +7 (903) 783-96-07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23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d4"/>
          <w:sz w:val="24"/>
          <w:szCs w:val="24"/>
          <w:u w:val="single"/>
          <w:shd w:fill="auto" w:val="clear"/>
          <w:vertAlign w:val="baseline"/>
          <w:rtl w:val="0"/>
        </w:rPr>
        <w:t xml:space="preserve">pesegovracinparts@gmail.com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23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3600" cy="25400"/>
              <wp:effectExtent b="0" l="0" r="0" t="0"/>
              <wp:wrapSquare wrapText="bothSides" distB="0" distT="0" distL="114300" distR="114300"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3600" cy="25400"/>
              <wp:effectExtent b="0" l="0" r="0" t="0"/>
              <wp:wrapSquare wrapText="bothSides" distB="0" distT="0" distL="114300" distR="114300"/>
              <wp:docPr id="103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d4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9.jpg"/><Relationship Id="rId13" Type="http://schemas.openxmlformats.org/officeDocument/2006/relationships/image" Target="media/image8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esegovracinparts@gmail.com" TargetMode="External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MLCUlyDbiN71pHZq81JXUhjuw==">AMUW2mWmVww0JJ90hmQ1tJy8fDt2dWElOZMjm5Wyuc/jwxpBbYF/+OowFyeHOlxTifrh08pch5cM9VkyD1bIBHafMSuhIj9vlOUEcYaRWo1FYg+S0c/dk7w=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2016-01-21T09:43:00Z</dcterms:created>
  <dc:creator>Песегов Андрей Валерьевич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